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83E" w:rsidRDefault="00A35515">
      <w:pPr>
        <w:rPr>
          <w:lang w:val="es-MX"/>
        </w:rPr>
      </w:pPr>
      <w:r>
        <w:rPr>
          <w:lang w:val="es-MX"/>
        </w:rPr>
        <w:t>Seguridad alimentaria</w:t>
      </w:r>
    </w:p>
    <w:p w:rsidR="00A35515" w:rsidRPr="00A35515" w:rsidRDefault="00A35515">
      <w:pPr>
        <w:rPr>
          <w:lang w:val="es-MX"/>
        </w:rPr>
      </w:pPr>
      <w:r>
        <w:rPr>
          <w:lang w:val="es-MX"/>
        </w:rPr>
        <w:br/>
      </w:r>
      <w:r>
        <w:rPr>
          <w:lang w:val="es-MX"/>
        </w:rPr>
        <w:br/>
      </w:r>
      <w:r w:rsidRPr="00A35515">
        <w:rPr>
          <w:rFonts w:ascii="Arial" w:hAnsi="Arial" w:cs="Arial"/>
          <w:color w:val="545454"/>
          <w:shd w:val="clear" w:color="auto" w:fill="FFFFFF"/>
          <w:lang w:val="es-MX"/>
        </w:rPr>
        <w:t>En 2022, la gravedad de la inseguridad alimentaria aguda aumentó hasta el </w:t>
      </w:r>
      <w:r w:rsidRPr="00A35515">
        <w:rPr>
          <w:rStyle w:val="Textoennegrita"/>
          <w:rFonts w:ascii="Arial" w:hAnsi="Arial" w:cs="Arial"/>
          <w:color w:val="545454"/>
          <w:shd w:val="clear" w:color="auto" w:fill="FFFFFF"/>
          <w:lang w:val="es-MX"/>
        </w:rPr>
        <w:t>22,7 %</w:t>
      </w:r>
      <w:r w:rsidRPr="00A35515">
        <w:rPr>
          <w:rFonts w:ascii="Arial" w:hAnsi="Arial" w:cs="Arial"/>
          <w:color w:val="545454"/>
          <w:shd w:val="clear" w:color="auto" w:fill="FFFFFF"/>
          <w:lang w:val="es-MX"/>
        </w:rPr>
        <w:t>, desde el 21,3 % en 2021, porcentaje que sigue siendo inaceptablemente elevado y pone de relieve una tendencia al aumento de la inseguridad alimentaria aguda a nivel mundial.</w:t>
      </w:r>
      <w:r>
        <w:rPr>
          <w:rFonts w:ascii="Arial" w:hAnsi="Arial" w:cs="Arial"/>
          <w:color w:val="545454"/>
          <w:shd w:val="clear" w:color="auto" w:fill="FFFFFF"/>
          <w:lang w:val="es-MX"/>
        </w:rPr>
        <w:br/>
      </w:r>
      <w:r>
        <w:rPr>
          <w:rFonts w:ascii="Arial" w:hAnsi="Arial" w:cs="Arial"/>
          <w:color w:val="545454"/>
          <w:shd w:val="clear" w:color="auto" w:fill="FFFFFF"/>
          <w:lang w:val="es-MX"/>
        </w:rPr>
        <w:br/>
      </w:r>
      <w:r w:rsidRPr="00A35515">
        <w:rPr>
          <w:rFonts w:ascii="Arial" w:hAnsi="Arial" w:cs="Arial"/>
          <w:color w:val="545454"/>
          <w:shd w:val="clear" w:color="auto" w:fill="FFFFFF"/>
          <w:lang w:val="es-MX"/>
        </w:rPr>
        <w:t> Las conmociones económicas mundiales de carácter acumulativo, como la subida de los precios de los alimentos y las graves perturbaciones en los mercados, socavan la resiliencia de los países y su capacidad para responder a las crisis alimentarias.</w:t>
      </w:r>
      <w:bookmarkStart w:id="0" w:name="_GoBack"/>
      <w:bookmarkEnd w:id="0"/>
    </w:p>
    <w:sectPr w:rsidR="00A35515" w:rsidRPr="00A35515" w:rsidSect="00645A85">
      <w:pgSz w:w="11907" w:h="16840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515"/>
    <w:rsid w:val="0043262C"/>
    <w:rsid w:val="00645A85"/>
    <w:rsid w:val="009B583E"/>
    <w:rsid w:val="00A3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9D66"/>
  <w15:chartTrackingRefBased/>
  <w15:docId w15:val="{51447620-2EE3-4611-8431-54C24018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A355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JEFA</dc:creator>
  <cp:keywords/>
  <dc:description/>
  <cp:lastModifiedBy>JEFA</cp:lastModifiedBy>
  <cp:revision>1</cp:revision>
  <dcterms:created xsi:type="dcterms:W3CDTF">2023-12-26T15:06:00Z</dcterms:created>
  <dcterms:modified xsi:type="dcterms:W3CDTF">2023-12-26T18:34:00Z</dcterms:modified>
</cp:coreProperties>
</file>